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3195C6" w14:textId="405D651D" w:rsidR="0053777D" w:rsidRDefault="007614AF" w:rsidP="00723FC6">
      <w:pPr>
        <w:pStyle w:val="Title"/>
      </w:pPr>
      <w:r>
        <w:t>Note on Semi-Empirical Theory of Learning and Weight Watcher</w:t>
      </w:r>
    </w:p>
    <w:p w14:paraId="1B772437" w14:textId="50E8C04F" w:rsidR="007614AF" w:rsidRDefault="007614AF" w:rsidP="007614AF">
      <w:r>
        <w:t>By Charles H Martin, 1/14/2026</w:t>
      </w:r>
    </w:p>
    <w:p w14:paraId="3CF9CA4D" w14:textId="77777777" w:rsidR="007614AF" w:rsidRDefault="007614AF" w:rsidP="007614AF"/>
    <w:p w14:paraId="14D9D7C0" w14:textId="291F44FA" w:rsidR="00E05680" w:rsidRDefault="007614AF" w:rsidP="007614AF">
      <w:pPr>
        <w:spacing w:line="240" w:lineRule="auto"/>
        <w:textAlignment w:val="baseline"/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</w:pP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t>WeightWatcher is based on the idea that neural-network (NN) learning behaves like a Renormalization Group (RG) flow. Here's some vibe coded slides to help explain what</w:t>
      </w:r>
      <w:r w:rsidR="00723FC6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t xml:space="preserve"> i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t>s going on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  <w:t>In physics, RG describes how complex systems simplify as you zoom out. Irrelevant details fade away, and only the structures that matter at large scales remain.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  <w:t>WeightWatcher applies this same intuition to neural networks.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</w:r>
      <w:r w:rsidRPr="007614AF">
        <w:rPr>
          <w:rFonts w:ascii="Segoe UI Symbol" w:eastAsia="Times New Roman" w:hAnsi="Segoe UI Symbol" w:cs="Segoe UI Symbol"/>
          <w:kern w:val="0"/>
          <w:szCs w:val="19"/>
          <w:bdr w:val="none" w:sz="0" w:space="0" w:color="auto" w:frame="1"/>
          <w14:ligatures w14:val="none"/>
        </w:rPr>
        <w:t>➤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t xml:space="preserve"> 1</w:t>
      </w:r>
      <w:r w:rsidRPr="007614AF">
        <w:rPr>
          <w:rFonts w:ascii="Apple Color Emoji" w:eastAsia="Times New Roman" w:hAnsi="Apple Color Emoji" w:cs="Apple Color Emoji"/>
          <w:kern w:val="0"/>
          <w:szCs w:val="19"/>
          <w:bdr w:val="none" w:sz="0" w:space="0" w:color="auto" w:frame="1"/>
          <w14:ligatures w14:val="none"/>
        </w:rPr>
        <w:t>️⃣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t xml:space="preserve"> Not all parameters matter equally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  <w:t>As a NN learns, most directions in weight space become irrelevant for generalization. What matters is a much smaller, structured subspace that actually controls performance.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  <w:t>This is called the Effective Correlation Space (ECS).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</w:r>
      <w:r w:rsidRPr="007614AF">
        <w:rPr>
          <w:rFonts w:ascii="Segoe UI Symbol" w:eastAsia="Times New Roman" w:hAnsi="Segoe UI Symbol" w:cs="Segoe UI Symbol"/>
          <w:kern w:val="0"/>
          <w:szCs w:val="19"/>
          <w:bdr w:val="none" w:sz="0" w:space="0" w:color="auto" w:frame="1"/>
          <w14:ligatures w14:val="none"/>
        </w:rPr>
        <w:t>➤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t xml:space="preserve"> 2</w:t>
      </w:r>
      <w:r w:rsidRPr="007614AF">
        <w:rPr>
          <w:rFonts w:ascii="Apple Color Emoji" w:eastAsia="Times New Roman" w:hAnsi="Apple Color Emoji" w:cs="Apple Color Emoji"/>
          <w:kern w:val="0"/>
          <w:szCs w:val="19"/>
          <w:bdr w:val="none" w:sz="0" w:space="0" w:color="auto" w:frame="1"/>
          <w14:ligatures w14:val="none"/>
        </w:rPr>
        <w:t>️⃣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t xml:space="preserve"> Learning looks like a flow, not just optimization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  <w:t>Instead of thinking of training as “minimizing loss,” think of it as a flow: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  <w:t>• important directions are amplified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  <w:t>• redundant or noisy directions are suppressed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  <w:t>• structure gradually emerges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  <w:t>This mirrors how RG flows drive physical systems toward simpler, universal behavior.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</w:r>
      <w:r w:rsidRPr="007614AF">
        <w:rPr>
          <w:rFonts w:ascii="Segoe UI Symbol" w:eastAsia="Times New Roman" w:hAnsi="Segoe UI Symbol" w:cs="Segoe UI Symbol"/>
          <w:kern w:val="0"/>
          <w:szCs w:val="19"/>
          <w:bdr w:val="none" w:sz="0" w:space="0" w:color="auto" w:frame="1"/>
          <w14:ligatures w14:val="none"/>
        </w:rPr>
        <w:t>➤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t xml:space="preserve"> 3</w:t>
      </w:r>
      <w:r w:rsidRPr="007614AF">
        <w:rPr>
          <w:rFonts w:ascii="Apple Color Emoji" w:eastAsia="Times New Roman" w:hAnsi="Apple Color Emoji" w:cs="Apple Color Emoji"/>
          <w:kern w:val="0"/>
          <w:szCs w:val="19"/>
          <w:bdr w:val="none" w:sz="0" w:space="0" w:color="auto" w:frame="1"/>
          <w14:ligatures w14:val="none"/>
        </w:rPr>
        <w:t>️⃣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t xml:space="preserve"> We can measure this flow directly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  <w:t>WeightWatcher tracks layer metrics like the Trace Log (detX) condition and the power law exponent α that each quantify how correlated and structured a layer has become.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  <w:t>• Intuitively, the TraceLog condition measures the effective volume of meaningful correlations in the layer.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  <w:t>• As training progresses, the ECS shrinks, the TraceLog decreases, and, like a physical system, approaches a fixed point: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</w:r>
    </w:p>
    <w:p w14:paraId="3D3A62BC" w14:textId="47A89314" w:rsidR="00E05680" w:rsidRDefault="00E05680" w:rsidP="007614AF">
      <w:pPr>
        <w:spacing w:line="240" w:lineRule="auto"/>
        <w:textAlignment w:val="baseline"/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</w:pPr>
      <m:oMath>
        <m:f>
          <m:fPr>
            <m:ctrlPr>
              <w:rPr>
                <w:rFonts w:ascii="Cambria Math" w:eastAsia="Times New Roman" w:hAnsi="Cambria Math" w:cs="Segoe UI"/>
                <w:i/>
                <w:kern w:val="0"/>
                <w:szCs w:val="19"/>
                <w:bdr w:val="none" w:sz="0" w:space="0" w:color="auto" w:frame="1"/>
                <w14:ligatures w14:val="none"/>
              </w:rPr>
            </m:ctrlPr>
          </m:fPr>
          <m:num>
            <m:r>
              <w:rPr>
                <w:rFonts w:ascii="Cambria Math" w:eastAsia="Times New Roman" w:hAnsi="Cambria Math" w:cs="Segoe UI"/>
                <w:kern w:val="0"/>
                <w:szCs w:val="19"/>
                <w:bdr w:val="none" w:sz="0" w:space="0" w:color="auto" w:frame="1"/>
                <w14:ligatures w14:val="none"/>
              </w:rPr>
              <m:t>d</m:t>
            </m:r>
          </m:num>
          <m:den>
            <m:r>
              <w:rPr>
                <w:rFonts w:ascii="Cambria Math" w:eastAsia="Times New Roman" w:hAnsi="Cambria Math" w:cs="Segoe UI"/>
                <w:kern w:val="0"/>
                <w:szCs w:val="19"/>
                <w:bdr w:val="none" w:sz="0" w:space="0" w:color="auto" w:frame="1"/>
                <w14:ligatures w14:val="none"/>
              </w:rPr>
              <m:t>dt</m:t>
            </m:r>
          </m:den>
        </m:f>
        <m:sSub>
          <m:sSubPr>
            <m:ctrlPr>
              <w:rPr>
                <w:rFonts w:ascii="Cambria Math" w:eastAsia="Times New Roman" w:hAnsi="Cambria Math" w:cs="Segoe UI"/>
                <w:i/>
                <w:kern w:val="0"/>
                <w:szCs w:val="19"/>
                <w:bdr w:val="none" w:sz="0" w:space="0" w:color="auto" w:frame="1"/>
                <w14:ligatures w14:val="none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 w:cs="Segoe UI"/>
                <w:kern w:val="0"/>
                <w:szCs w:val="19"/>
                <w:bdr w:val="none" w:sz="0" w:space="0" w:color="auto" w:frame="1"/>
                <w14:ligatures w14:val="none"/>
              </w:rPr>
              <m:t>L</m:t>
            </m:r>
          </m:e>
          <m:sub>
            <m:r>
              <w:rPr>
                <w:rFonts w:ascii="Cambria Math" w:eastAsia="Times New Roman" w:hAnsi="Cambria Math" w:cs="Segoe UI"/>
                <w:kern w:val="0"/>
                <w:szCs w:val="19"/>
                <w:bdr w:val="none" w:sz="0" w:space="0" w:color="auto" w:frame="1"/>
                <w14:ligatures w14:val="none"/>
              </w:rPr>
              <m:t>ECS</m:t>
            </m:r>
          </m:sub>
        </m:sSub>
        <m:r>
          <w:rPr>
            <w:rFonts w:ascii="Cambria Math" w:eastAsia="Times New Roman" w:hAnsi="Cambria Math" w:cs="Segoe UI"/>
            <w:kern w:val="0"/>
            <w:szCs w:val="19"/>
            <w:bdr w:val="none" w:sz="0" w:space="0" w:color="auto" w:frame="1"/>
            <w14:ligatures w14:val="none"/>
          </w:rPr>
          <m:t>→0</m:t>
        </m:r>
      </m:oMath>
      <w:r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t xml:space="preserve"> </w:t>
      </w:r>
    </w:p>
    <w:p w14:paraId="29EBB374" w14:textId="0164FC01" w:rsidR="007614AF" w:rsidRPr="007614AF" w:rsidRDefault="007614AF" w:rsidP="007614AF">
      <w:pPr>
        <w:spacing w:line="240" w:lineRule="auto"/>
        <w:textAlignment w:val="baseline"/>
        <w:rPr>
          <w:rFonts w:eastAsia="Times New Roman" w:cs="Segoe UI"/>
          <w:kern w:val="0"/>
          <w:szCs w:val="19"/>
          <w14:ligatures w14:val="none"/>
        </w:rPr>
      </w:pP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</w:r>
      <w:r w:rsidRPr="007614AF">
        <w:rPr>
          <w:rFonts w:ascii="Segoe UI Symbol" w:eastAsia="Times New Roman" w:hAnsi="Segoe UI Symbol" w:cs="Segoe UI Symbol"/>
          <w:kern w:val="0"/>
          <w:szCs w:val="19"/>
          <w:bdr w:val="none" w:sz="0" w:space="0" w:color="auto" w:frame="1"/>
          <w14:ligatures w14:val="none"/>
        </w:rPr>
        <w:t>➤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t xml:space="preserve"> 4</w:t>
      </w:r>
      <w:r w:rsidRPr="007614AF">
        <w:rPr>
          <w:rFonts w:ascii="Apple Color Emoji" w:eastAsia="Times New Roman" w:hAnsi="Apple Color Emoji" w:cs="Apple Color Emoji"/>
          <w:kern w:val="0"/>
          <w:szCs w:val="19"/>
          <w:bdr w:val="none" w:sz="0" w:space="0" w:color="auto" w:frame="1"/>
          <w14:ligatures w14:val="none"/>
        </w:rPr>
        <w:t>️⃣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t xml:space="preserve"> Generalization corresponds to a fixed point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  <w:t>When a network generalizes well: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  <w:t>• its effective structure becomes scale-invariant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  <w:t>• correlations follow a universal pattern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  <w:t>• a low-rank version of the layer reproduces test accuracy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  <w:t xml:space="preserve">In RG language, the network has reached a non-trivial fixed point where 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  <w:t xml:space="preserve">• the ERG TraceLog condition vanishes, 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  <w:t xml:space="preserve"> </w:t>
      </w:r>
      <m:oMath>
        <m:sSub>
          <m:sSubPr>
            <m:ctrlPr>
              <w:rPr>
                <w:rFonts w:ascii="Cambria Math" w:eastAsia="Times New Roman" w:hAnsi="Cambria Math" w:cs="Segoe UI"/>
                <w:i/>
                <w:kern w:val="0"/>
                <w:szCs w:val="19"/>
                <w:bdr w:val="none" w:sz="0" w:space="0" w:color="auto" w:frame="1"/>
                <w14:ligatures w14:val="none"/>
              </w:rPr>
            </m:ctrlPr>
          </m:sSubPr>
          <m:e>
            <m:r>
              <m:rPr>
                <m:scr m:val="script"/>
              </m:rPr>
              <w:rPr>
                <w:rFonts w:ascii="Cambria Math" w:eastAsia="Times New Roman" w:hAnsi="Cambria Math" w:cs="Segoe UI"/>
                <w:kern w:val="0"/>
                <w:szCs w:val="19"/>
                <w:bdr w:val="none" w:sz="0" w:space="0" w:color="auto" w:frame="1"/>
                <w14:ligatures w14:val="none"/>
              </w:rPr>
              <m:t>L</m:t>
            </m:r>
          </m:e>
          <m:sub>
            <m:r>
              <w:rPr>
                <w:rFonts w:ascii="Cambria Math" w:eastAsia="Times New Roman" w:hAnsi="Cambria Math" w:cs="Segoe UI"/>
                <w:kern w:val="0"/>
                <w:szCs w:val="19"/>
                <w:bdr w:val="none" w:sz="0" w:space="0" w:color="auto" w:frame="1"/>
                <w14:ligatures w14:val="none"/>
              </w:rPr>
              <m:t>ECS</m:t>
            </m:r>
          </m:sub>
        </m:sSub>
      </m:oMath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t xml:space="preserve"> = ∑ ln λ = 0, λ </w:t>
      </w:r>
      <w:r w:rsidRPr="007614AF">
        <w:rPr>
          <w:rFonts w:ascii="Cambria Math" w:eastAsia="Times New Roman" w:hAnsi="Cambria Math" w:cs="Cambria Math"/>
          <w:kern w:val="0"/>
          <w:szCs w:val="19"/>
          <w:bdr w:val="none" w:sz="0" w:space="0" w:color="auto" w:frame="1"/>
          <w14:ligatures w14:val="none"/>
        </w:rPr>
        <w:t>∈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t xml:space="preserve"> ECS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  <w:t xml:space="preserve">• the weightwatcher power law exponent α = 2, 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  <w:t xml:space="preserve"> ρ(λ) </w:t>
      </w:r>
      <w:r w:rsidRPr="007614AF">
        <w:rPr>
          <w:rFonts w:ascii="Cambria Math" w:eastAsia="Times New Roman" w:hAnsi="Cambria Math" w:cs="Cambria Math"/>
          <w:kern w:val="0"/>
          <w:szCs w:val="19"/>
          <w:bdr w:val="none" w:sz="0" w:space="0" w:color="auto" w:frame="1"/>
          <w14:ligatures w14:val="none"/>
        </w:rPr>
        <w:t>∼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t xml:space="preserve"> λ^(-α),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t> 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t>α = 2,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t> 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t xml:space="preserve">λ </w:t>
      </w:r>
      <w:r w:rsidRPr="007614AF">
        <w:rPr>
          <w:rFonts w:ascii="Cambria Math" w:eastAsia="Times New Roman" w:hAnsi="Cambria Math" w:cs="Cambria Math"/>
          <w:kern w:val="0"/>
          <w:szCs w:val="19"/>
          <w:bdr w:val="none" w:sz="0" w:space="0" w:color="auto" w:frame="1"/>
          <w14:ligatures w14:val="none"/>
        </w:rPr>
        <w:t>∈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t xml:space="preserve"> ECS</w:t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</w:r>
      <w:r w:rsidRPr="007614AF">
        <w:rPr>
          <w:rFonts w:eastAsia="Times New Roman" w:cs="Segoe UI"/>
          <w:kern w:val="0"/>
          <w:szCs w:val="19"/>
          <w:bdr w:val="none" w:sz="0" w:space="0" w:color="auto" w:frame="1"/>
          <w14:ligatures w14:val="none"/>
        </w:rPr>
        <w:br/>
        <w:t>And, as shown in the SETOL paper, the layer weight matrix can be replaced with its ECS exactly.</w:t>
      </w:r>
    </w:p>
    <w:p w14:paraId="52502B27" w14:textId="77777777" w:rsidR="007614AF" w:rsidRPr="007614AF" w:rsidRDefault="007614AF" w:rsidP="007614AF">
      <w:pPr>
        <w:spacing w:line="240" w:lineRule="auto"/>
        <w:rPr>
          <w:rFonts w:eastAsia="Times New Roman" w:cs="Times New Roman"/>
          <w:kern w:val="0"/>
          <w:szCs w:val="19"/>
          <w14:ligatures w14:val="none"/>
        </w:rPr>
      </w:pPr>
    </w:p>
    <w:p w14:paraId="110A191A" w14:textId="0BEFC793" w:rsidR="007614AF" w:rsidRDefault="007614AF" w:rsidP="007614AF">
      <w:pPr>
        <w:rPr>
          <w:szCs w:val="19"/>
        </w:rPr>
      </w:pPr>
      <w:r>
        <w:rPr>
          <w:noProof/>
          <w:szCs w:val="19"/>
        </w:rPr>
        <w:drawing>
          <wp:inline distT="0" distB="0" distL="0" distR="0" wp14:anchorId="08C80894" wp14:editId="64418615">
            <wp:extent cx="5943600" cy="3775075"/>
            <wp:effectExtent l="0" t="0" r="0" b="0"/>
            <wp:docPr id="885704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04570" name="Picture 1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4FA2" w14:textId="77777777" w:rsidR="007614AF" w:rsidRDefault="007614AF" w:rsidP="007614AF">
      <w:pPr>
        <w:rPr>
          <w:szCs w:val="19"/>
        </w:rPr>
      </w:pPr>
    </w:p>
    <w:p w14:paraId="5E1AFC13" w14:textId="18E660CA" w:rsidR="007614AF" w:rsidRDefault="007614AF" w:rsidP="007614AF">
      <w:pPr>
        <w:rPr>
          <w:szCs w:val="19"/>
        </w:rPr>
      </w:pPr>
      <w:r>
        <w:rPr>
          <w:noProof/>
          <w:szCs w:val="19"/>
        </w:rPr>
        <w:drawing>
          <wp:inline distT="0" distB="0" distL="0" distR="0" wp14:anchorId="591BF69B" wp14:editId="6254A4C2">
            <wp:extent cx="5943600" cy="3747770"/>
            <wp:effectExtent l="0" t="0" r="0" b="0"/>
            <wp:docPr id="15949187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18754" name="Picture 159491875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EA7A" w14:textId="77777777" w:rsidR="007614AF" w:rsidRDefault="007614AF" w:rsidP="007614AF">
      <w:pPr>
        <w:rPr>
          <w:szCs w:val="19"/>
        </w:rPr>
      </w:pPr>
    </w:p>
    <w:p w14:paraId="4406C005" w14:textId="16D10B1D" w:rsidR="007614AF" w:rsidRDefault="007614AF" w:rsidP="007614AF">
      <w:pPr>
        <w:rPr>
          <w:szCs w:val="19"/>
        </w:rPr>
      </w:pPr>
      <w:r>
        <w:rPr>
          <w:noProof/>
          <w:szCs w:val="19"/>
        </w:rPr>
        <w:lastRenderedPageBreak/>
        <w:drawing>
          <wp:inline distT="0" distB="0" distL="0" distR="0" wp14:anchorId="6CA41B91" wp14:editId="47E61F89">
            <wp:extent cx="5943600" cy="3941445"/>
            <wp:effectExtent l="0" t="0" r="0" b="0"/>
            <wp:docPr id="117913860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38601" name="Picture 3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5AE7" w14:textId="77777777" w:rsidR="007614AF" w:rsidRDefault="007614AF" w:rsidP="007614AF">
      <w:pPr>
        <w:rPr>
          <w:szCs w:val="19"/>
        </w:rPr>
      </w:pPr>
    </w:p>
    <w:p w14:paraId="137C4194" w14:textId="2F7C969D" w:rsidR="007614AF" w:rsidRDefault="007614AF" w:rsidP="007614AF">
      <w:pPr>
        <w:rPr>
          <w:szCs w:val="19"/>
        </w:rPr>
      </w:pPr>
      <w:r>
        <w:rPr>
          <w:noProof/>
          <w:szCs w:val="19"/>
        </w:rPr>
        <w:drawing>
          <wp:inline distT="0" distB="0" distL="0" distR="0" wp14:anchorId="59AAD6B5" wp14:editId="33BBD4F9">
            <wp:extent cx="5943600" cy="3981450"/>
            <wp:effectExtent l="0" t="0" r="0" b="6350"/>
            <wp:docPr id="11033345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34505" name="Picture 110333450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FB49" w14:textId="3AE01756" w:rsidR="007614AF" w:rsidRDefault="007614AF" w:rsidP="007614AF">
      <w:pPr>
        <w:rPr>
          <w:szCs w:val="19"/>
        </w:rPr>
      </w:pPr>
      <w:r>
        <w:rPr>
          <w:noProof/>
          <w:szCs w:val="19"/>
        </w:rPr>
        <w:lastRenderedPageBreak/>
        <w:drawing>
          <wp:inline distT="0" distB="0" distL="0" distR="0" wp14:anchorId="41EC183B" wp14:editId="56B9DF64">
            <wp:extent cx="5943600" cy="3987800"/>
            <wp:effectExtent l="0" t="0" r="0" b="0"/>
            <wp:docPr id="2057969412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69412" name="Picture 5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80DE" w14:textId="77777777" w:rsidR="007614AF" w:rsidRDefault="007614AF" w:rsidP="007614AF">
      <w:pPr>
        <w:rPr>
          <w:szCs w:val="19"/>
        </w:rPr>
      </w:pPr>
    </w:p>
    <w:p w14:paraId="7D050299" w14:textId="7F5AA309" w:rsidR="007614AF" w:rsidRDefault="007614AF" w:rsidP="00723FC6">
      <w:pPr>
        <w:pStyle w:val="Heading1"/>
      </w:pPr>
      <w:r>
        <w:t>References</w:t>
      </w:r>
    </w:p>
    <w:p w14:paraId="13FB5B81" w14:textId="77777777" w:rsidR="007614AF" w:rsidRDefault="007614AF" w:rsidP="007614AF">
      <w:pPr>
        <w:rPr>
          <w:szCs w:val="19"/>
        </w:rPr>
      </w:pPr>
    </w:p>
    <w:p w14:paraId="5E175A8B" w14:textId="139013F7" w:rsidR="007614AF" w:rsidRDefault="007614AF" w:rsidP="007614AF">
      <w:pPr>
        <w:rPr>
          <w:szCs w:val="19"/>
        </w:rPr>
      </w:pPr>
      <w:r>
        <w:rPr>
          <w:szCs w:val="19"/>
        </w:rPr>
        <w:t xml:space="preserve">[1] </w:t>
      </w:r>
      <w:hyperlink r:id="rId9" w:history="1">
        <w:r w:rsidRPr="007614AF">
          <w:rPr>
            <w:rStyle w:val="Hyperlink"/>
            <w:szCs w:val="19"/>
          </w:rPr>
          <w:t>Charles H. Martin’s post on Linkedin , 1/14/2026</w:t>
        </w:r>
      </w:hyperlink>
    </w:p>
    <w:p w14:paraId="7DB90746" w14:textId="421D806E" w:rsidR="007614AF" w:rsidRDefault="007614AF" w:rsidP="007614AF">
      <w:pPr>
        <w:rPr>
          <w:szCs w:val="19"/>
        </w:rPr>
      </w:pPr>
      <w:r>
        <w:rPr>
          <w:szCs w:val="19"/>
        </w:rPr>
        <w:t xml:space="preserve">[2] </w:t>
      </w:r>
      <w:hyperlink r:id="rId10" w:history="1">
        <w:r w:rsidR="00723FC6" w:rsidRPr="00723FC6">
          <w:rPr>
            <w:rStyle w:val="Hyperlink"/>
            <w:szCs w:val="19"/>
          </w:rPr>
          <w:t>SETOL: A Semi-Empirical Theory of Deep Learning, Charles H. Martin and Christopher Hinrichs, 2025</w:t>
        </w:r>
      </w:hyperlink>
    </w:p>
    <w:p w14:paraId="7EC7BA67" w14:textId="1462DBCE" w:rsidR="00723FC6" w:rsidRDefault="00723FC6" w:rsidP="007614AF">
      <w:pPr>
        <w:rPr>
          <w:szCs w:val="19"/>
        </w:rPr>
      </w:pPr>
      <w:r>
        <w:rPr>
          <w:szCs w:val="19"/>
        </w:rPr>
        <w:t xml:space="preserve">[3] WeightWatcher: Data-Free Diagnostics for Deep Learning: </w:t>
      </w:r>
      <w:hyperlink r:id="rId11" w:history="1">
        <w:r w:rsidRPr="000F08AA">
          <w:rPr>
            <w:rStyle w:val="Hyperlink"/>
            <w:szCs w:val="19"/>
          </w:rPr>
          <w:t>https://weightwatcher.ai/</w:t>
        </w:r>
      </w:hyperlink>
    </w:p>
    <w:p w14:paraId="00BA226A" w14:textId="4FA1C6A1" w:rsidR="00C67402" w:rsidRDefault="00C67402" w:rsidP="007614AF">
      <w:pPr>
        <w:rPr>
          <w:szCs w:val="19"/>
        </w:rPr>
      </w:pPr>
      <w:r>
        <w:rPr>
          <w:szCs w:val="19"/>
        </w:rPr>
        <w:t xml:space="preserve">[4] </w:t>
      </w:r>
      <w:hyperlink r:id="rId12" w:history="1">
        <w:r w:rsidRPr="00C67402">
          <w:rPr>
            <w:rStyle w:val="Hyperlink"/>
            <w:szCs w:val="19"/>
          </w:rPr>
          <w:t>WeightWatcher, HTSR theory, and the Renormalization Group</w:t>
        </w:r>
        <w:r w:rsidRPr="00C67402">
          <w:rPr>
            <w:rStyle w:val="Hyperlink"/>
            <w:szCs w:val="19"/>
          </w:rPr>
          <w:t>, calculated content blog, December 24, 2024</w:t>
        </w:r>
      </w:hyperlink>
    </w:p>
    <w:p w14:paraId="680F76D1" w14:textId="77777777" w:rsidR="00723FC6" w:rsidRPr="007614AF" w:rsidRDefault="00723FC6" w:rsidP="007614AF">
      <w:pPr>
        <w:rPr>
          <w:szCs w:val="19"/>
        </w:rPr>
      </w:pPr>
    </w:p>
    <w:sectPr w:rsidR="00723FC6" w:rsidRPr="007614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4AF"/>
    <w:rsid w:val="001E7E99"/>
    <w:rsid w:val="0028631B"/>
    <w:rsid w:val="0053777D"/>
    <w:rsid w:val="00723FC6"/>
    <w:rsid w:val="007614AF"/>
    <w:rsid w:val="0076273D"/>
    <w:rsid w:val="009E4EFF"/>
    <w:rsid w:val="00AD2000"/>
    <w:rsid w:val="00C67402"/>
    <w:rsid w:val="00E05680"/>
    <w:rsid w:val="00FC5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5DE5FE"/>
  <w15:chartTrackingRefBased/>
  <w15:docId w15:val="{7D85603F-356E-BE42-B771-750D847EB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14AF"/>
    <w:pPr>
      <w:spacing w:after="0"/>
    </w:pPr>
    <w:rPr>
      <w:sz w:val="19"/>
    </w:rPr>
  </w:style>
  <w:style w:type="paragraph" w:styleId="Heading1">
    <w:name w:val="heading 1"/>
    <w:basedOn w:val="Normal"/>
    <w:next w:val="Normal"/>
    <w:link w:val="Heading1Char"/>
    <w:uiPriority w:val="9"/>
    <w:qFormat/>
    <w:rsid w:val="007614AF"/>
    <w:pPr>
      <w:keepNext/>
      <w:keepLines/>
      <w:outlineLvl w:val="0"/>
    </w:pPr>
    <w:rPr>
      <w:rFonts w:asciiTheme="majorHAnsi" w:eastAsiaTheme="majorEastAsia" w:hAnsiTheme="majorHAnsi" w:cstheme="majorBidi"/>
      <w:color w:val="0F4761" w:themeColor="accent1" w:themeShade="BF"/>
      <w:sz w:val="26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14AF"/>
    <w:pPr>
      <w:keepNext/>
      <w:keepLines/>
      <w:outlineLvl w:val="1"/>
    </w:pPr>
    <w:rPr>
      <w:rFonts w:asciiTheme="majorHAnsi" w:eastAsiaTheme="majorEastAsia" w:hAnsiTheme="majorHAnsi" w:cstheme="majorBidi"/>
      <w:color w:val="0F4761" w:themeColor="accent1" w:themeShade="BF"/>
      <w:sz w:val="24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14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14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4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14A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14A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14A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14A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14AF"/>
    <w:rPr>
      <w:rFonts w:asciiTheme="majorHAnsi" w:eastAsiaTheme="majorEastAsia" w:hAnsiTheme="majorHAnsi" w:cstheme="majorBidi"/>
      <w:color w:val="0F4761" w:themeColor="accent1" w:themeShade="BF"/>
      <w:sz w:val="26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14AF"/>
    <w:rPr>
      <w:rFonts w:asciiTheme="majorHAnsi" w:eastAsiaTheme="majorEastAsia" w:hAnsiTheme="majorHAnsi" w:cstheme="majorBidi"/>
      <w:color w:val="0F4761" w:themeColor="accent1" w:themeShade="BF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14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14A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4A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4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4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4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4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14AF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14AF"/>
    <w:rPr>
      <w:rFonts w:asciiTheme="majorHAnsi" w:eastAsiaTheme="majorEastAsia" w:hAnsiTheme="majorHAnsi" w:cstheme="majorBidi"/>
      <w:spacing w:val="-10"/>
      <w:kern w:val="28"/>
      <w:sz w:val="28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14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14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14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14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14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14A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14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14A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14AF"/>
    <w:rPr>
      <w:b/>
      <w:bCs/>
      <w:smallCaps/>
      <w:color w:val="0F4761" w:themeColor="accent1" w:themeShade="BF"/>
      <w:spacing w:val="5"/>
    </w:rPr>
  </w:style>
  <w:style w:type="character" w:customStyle="1" w:styleId="break-words">
    <w:name w:val="break-words"/>
    <w:basedOn w:val="DefaultParagraphFont"/>
    <w:rsid w:val="007614AF"/>
  </w:style>
  <w:style w:type="character" w:customStyle="1" w:styleId="white-space-pre">
    <w:name w:val="white-space-pre"/>
    <w:basedOn w:val="DefaultParagraphFont"/>
    <w:rsid w:val="007614AF"/>
  </w:style>
  <w:style w:type="character" w:styleId="Hyperlink">
    <w:name w:val="Hyperlink"/>
    <w:basedOn w:val="DefaultParagraphFont"/>
    <w:uiPriority w:val="99"/>
    <w:unhideWhenUsed/>
    <w:rsid w:val="007614A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614AF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E0568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calculatedcontent.com/2024/12/24/weightwatcher-htsr-theory-and-the-renormalization-group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weightwatcher.ai/" TargetMode="External"/><Relationship Id="rId5" Type="http://schemas.openxmlformats.org/officeDocument/2006/relationships/image" Target="media/image2.png"/><Relationship Id="rId10" Type="http://schemas.openxmlformats.org/officeDocument/2006/relationships/hyperlink" Target="https://github.com/dimitarpg13/geometric_deep_learning/blob/main/articles/SETOL/SETOL-A_Semi-Empirical_Theory_of_Deep_Learning_Martin_2025.pdf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www.linkedin.com/posts/charlesmartin14_weightwatcher-is-based-on-the-idea-that-neural-network-ugcPost-7417293628475232256-aKHw?utm_source=share&amp;utm_medium=member_desktop&amp;rcm=ACoAAAFZfUoBgPoGUucdnvtwuzPv79P8VHj6uvk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455</Words>
  <Characters>2600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Dimitar Gueorguiev</dc:creator>
  <cp:keywords/>
  <dc:description/>
  <cp:lastModifiedBy>Dimitar Gueorguiev</cp:lastModifiedBy>
  <cp:revision>4</cp:revision>
  <dcterms:created xsi:type="dcterms:W3CDTF">2026-01-15T02:24:00Z</dcterms:created>
  <dcterms:modified xsi:type="dcterms:W3CDTF">2026-01-15T02:44:00Z</dcterms:modified>
</cp:coreProperties>
</file>